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7AC90069"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#10</w:t>
      </w:r>
      <w:r w:rsidR="00700B6D">
        <w:rPr>
          <w:b/>
          <w:bCs/>
          <w:sz w:val="24"/>
          <w:szCs w:val="24"/>
          <w:lang w:eastAsia="ja-JP"/>
        </w:rPr>
        <w:t>7</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R2-19</w:t>
      </w:r>
      <w:r w:rsidR="0097605C">
        <w:rPr>
          <w:b/>
          <w:noProof/>
          <w:sz w:val="28"/>
        </w:rPr>
        <w:t>08856</w:t>
      </w:r>
    </w:p>
    <w:p w14:paraId="142E7EB2" w14:textId="75C8CFE1" w:rsidR="00156A1A" w:rsidRDefault="00700B6D" w:rsidP="00156A1A">
      <w:pPr>
        <w:pStyle w:val="CRCoverPage"/>
        <w:rPr>
          <w:b/>
          <w:noProof/>
          <w:sz w:val="24"/>
        </w:rPr>
      </w:pPr>
      <w:r>
        <w:rPr>
          <w:b/>
          <w:sz w:val="24"/>
          <w:szCs w:val="24"/>
        </w:rPr>
        <w:t>Prague</w:t>
      </w:r>
      <w:r w:rsidR="000A578F">
        <w:rPr>
          <w:b/>
          <w:sz w:val="24"/>
          <w:szCs w:val="24"/>
        </w:rPr>
        <w:t xml:space="preserve">, </w:t>
      </w:r>
      <w:r>
        <w:rPr>
          <w:b/>
          <w:sz w:val="24"/>
          <w:szCs w:val="24"/>
        </w:rPr>
        <w:t>Czech Republic</w:t>
      </w:r>
      <w:r w:rsidR="00B50CBC">
        <w:rPr>
          <w:b/>
          <w:sz w:val="24"/>
          <w:szCs w:val="24"/>
        </w:rPr>
        <w:t xml:space="preserve">, </w:t>
      </w:r>
      <w:r>
        <w:rPr>
          <w:b/>
          <w:sz w:val="24"/>
          <w:szCs w:val="24"/>
        </w:rPr>
        <w:t>26</w:t>
      </w:r>
      <w:r w:rsidR="00B50CBC" w:rsidRPr="00B50CBC">
        <w:rPr>
          <w:b/>
          <w:sz w:val="24"/>
          <w:szCs w:val="24"/>
          <w:vertAlign w:val="superscript"/>
        </w:rPr>
        <w:t>th</w:t>
      </w:r>
      <w:r w:rsidR="00B50CBC">
        <w:rPr>
          <w:b/>
          <w:sz w:val="24"/>
          <w:szCs w:val="24"/>
        </w:rPr>
        <w:t xml:space="preserve"> </w:t>
      </w:r>
      <w:r w:rsidR="00636D32">
        <w:rPr>
          <w:b/>
          <w:sz w:val="24"/>
          <w:szCs w:val="24"/>
        </w:rPr>
        <w:t>May</w:t>
      </w:r>
      <w:r w:rsidR="005A4A8D">
        <w:rPr>
          <w:b/>
          <w:sz w:val="24"/>
          <w:szCs w:val="24"/>
        </w:rPr>
        <w:t xml:space="preserve"> </w:t>
      </w:r>
      <w:r w:rsidR="00B50CBC">
        <w:rPr>
          <w:b/>
          <w:sz w:val="24"/>
          <w:szCs w:val="24"/>
        </w:rPr>
        <w:t>–</w:t>
      </w:r>
      <w:r w:rsidR="005A4A8D">
        <w:rPr>
          <w:b/>
          <w:sz w:val="24"/>
          <w:szCs w:val="24"/>
        </w:rPr>
        <w:t xml:space="preserve"> </w:t>
      </w:r>
      <w:r>
        <w:rPr>
          <w:b/>
          <w:sz w:val="24"/>
          <w:szCs w:val="24"/>
        </w:rPr>
        <w:t>30</w:t>
      </w:r>
      <w:r w:rsidR="00B50CBC" w:rsidRPr="00B50CBC">
        <w:rPr>
          <w:b/>
          <w:sz w:val="24"/>
          <w:szCs w:val="24"/>
          <w:vertAlign w:val="superscript"/>
        </w:rPr>
        <w:t>th</w:t>
      </w:r>
      <w:r w:rsidR="00B50CBC">
        <w:rPr>
          <w:b/>
          <w:sz w:val="24"/>
          <w:szCs w:val="24"/>
        </w:rPr>
        <w:t xml:space="preserve"> </w:t>
      </w:r>
      <w:r w:rsidR="00636D32">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94AD016"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25AC12C4"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 xml:space="preserve">MediaTek </w:t>
      </w:r>
      <w:r w:rsidR="00702E01">
        <w:rPr>
          <w:b/>
          <w:noProof/>
          <w:sz w:val="24"/>
        </w:rPr>
        <w:t xml:space="preserve">USA </w:t>
      </w:r>
      <w:r w:rsidR="003A282C">
        <w:rPr>
          <w:b/>
          <w:noProof/>
          <w:sz w:val="24"/>
        </w:rPr>
        <w:t>Inc.</w:t>
      </w:r>
    </w:p>
    <w:p w14:paraId="45F2FD0F" w14:textId="1AE5D5B0"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700B6D">
        <w:rPr>
          <w:b/>
          <w:noProof/>
          <w:sz w:val="24"/>
        </w:rPr>
        <w:t xml:space="preserve">On </w:t>
      </w:r>
      <w:r w:rsidR="0097605C">
        <w:rPr>
          <w:b/>
          <w:noProof/>
          <w:sz w:val="24"/>
        </w:rPr>
        <w:t xml:space="preserve">Analysis of </w:t>
      </w:r>
      <w:r w:rsidR="00700B6D">
        <w:rPr>
          <w:b/>
          <w:noProof/>
          <w:sz w:val="24"/>
        </w:rPr>
        <w:t xml:space="preserve">RACH Capacity </w:t>
      </w:r>
      <w:r w:rsidR="005E1402">
        <w:rPr>
          <w:b/>
          <w:noProof/>
          <w:sz w:val="24"/>
        </w:rPr>
        <w:t>in NTN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1E314F0" w14:textId="76A903F8" w:rsidR="00340530"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Large propagation delay and wide geographical coverage of beams </w:t>
      </w:r>
      <w:r w:rsidR="00025537">
        <w:rPr>
          <w:rFonts w:ascii="Arial" w:eastAsia="MS Mincho" w:hAnsi="Arial" w:cs="Arial"/>
          <w:szCs w:val="24"/>
          <w:lang w:eastAsia="en-GB"/>
        </w:rPr>
        <w:t xml:space="preserve">can </w:t>
      </w:r>
      <w:r>
        <w:rPr>
          <w:rFonts w:ascii="Arial" w:eastAsia="MS Mincho" w:hAnsi="Arial" w:cs="Arial"/>
          <w:szCs w:val="24"/>
          <w:lang w:eastAsia="en-GB"/>
        </w:rPr>
        <w:t xml:space="preserve">result in </w:t>
      </w:r>
      <w:r w:rsidR="00700B6D">
        <w:rPr>
          <w:rFonts w:ascii="Arial" w:eastAsia="MS Mincho" w:hAnsi="Arial" w:cs="Arial"/>
          <w:szCs w:val="24"/>
          <w:lang w:eastAsia="en-GB"/>
        </w:rPr>
        <w:t>additional</w:t>
      </w:r>
      <w:r>
        <w:rPr>
          <w:rFonts w:ascii="Arial" w:eastAsia="MS Mincho" w:hAnsi="Arial" w:cs="Arial"/>
          <w:szCs w:val="24"/>
          <w:lang w:eastAsia="en-GB"/>
        </w:rPr>
        <w:t xml:space="preserve"> delay </w:t>
      </w:r>
      <w:r w:rsidR="00700B6D">
        <w:rPr>
          <w:rFonts w:ascii="Arial" w:eastAsia="MS Mincho" w:hAnsi="Arial" w:cs="Arial"/>
          <w:szCs w:val="24"/>
          <w:lang w:eastAsia="en-GB"/>
        </w:rPr>
        <w:t xml:space="preserve">and delay </w:t>
      </w:r>
      <w:r>
        <w:rPr>
          <w:rFonts w:ascii="Arial" w:eastAsia="MS Mincho" w:hAnsi="Arial" w:cs="Arial"/>
          <w:szCs w:val="24"/>
          <w:lang w:eastAsia="en-GB"/>
        </w:rPr>
        <w:t>difference within an NTN beam</w:t>
      </w:r>
      <w:r w:rsidR="005C1CC9">
        <w:rPr>
          <w:rFonts w:ascii="Arial" w:eastAsia="MS Mincho" w:hAnsi="Arial" w:cs="Arial"/>
          <w:szCs w:val="24"/>
          <w:lang w:eastAsia="en-GB"/>
        </w:rPr>
        <w:t xml:space="preserve"> [1]</w:t>
      </w:r>
      <w:bookmarkStart w:id="2" w:name="_GoBack"/>
      <w:bookmarkEnd w:id="2"/>
      <w:r>
        <w:rPr>
          <w:rFonts w:ascii="Arial" w:eastAsia="MS Mincho" w:hAnsi="Arial" w:cs="Arial"/>
          <w:szCs w:val="24"/>
          <w:lang w:eastAsia="en-GB"/>
        </w:rPr>
        <w:t xml:space="preserve">, as perceived by the UE. This delay difference can impact the Random Access (RA) procedure of NTN by generating preamble ambiguity. </w:t>
      </w:r>
      <w:r w:rsidR="00700B6D">
        <w:rPr>
          <w:rFonts w:ascii="Arial" w:eastAsia="MS Mincho" w:hAnsi="Arial" w:cs="Arial"/>
          <w:szCs w:val="24"/>
          <w:lang w:eastAsia="en-GB"/>
        </w:rPr>
        <w:t xml:space="preserve">Resolving this preamble ambiguity can reduce the RACH capacity in NTN. </w:t>
      </w:r>
      <w:r w:rsidR="00340530">
        <w:rPr>
          <w:rFonts w:ascii="Arial" w:eastAsia="MS Mincho" w:hAnsi="Arial" w:cs="Arial"/>
          <w:szCs w:val="24"/>
          <w:lang w:eastAsia="en-GB"/>
        </w:rPr>
        <w:t xml:space="preserve">In this contribution we </w:t>
      </w:r>
      <w:r>
        <w:rPr>
          <w:rFonts w:ascii="Arial" w:eastAsia="MS Mincho" w:hAnsi="Arial" w:cs="Arial"/>
          <w:szCs w:val="24"/>
          <w:lang w:eastAsia="en-GB"/>
        </w:rPr>
        <w:t>discuss</w:t>
      </w:r>
      <w:r w:rsidR="00700B6D">
        <w:rPr>
          <w:rFonts w:ascii="Arial" w:eastAsia="MS Mincho" w:hAnsi="Arial" w:cs="Arial"/>
          <w:szCs w:val="24"/>
          <w:lang w:eastAsia="en-GB"/>
        </w:rPr>
        <w:t xml:space="preserve"> that even this reduced RACH capacity is enough to sustain the number of users in NTN</w:t>
      </w:r>
      <w:r w:rsidR="00340530">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Pr="00A02DAF" w:rsidRDefault="002E6F37" w:rsidP="00E2227D">
      <w:pPr>
        <w:jc w:val="both"/>
        <w:rPr>
          <w:rFonts w:ascii="Arial" w:hAnsi="Arial" w:cs="Arial"/>
          <w:bCs/>
          <w:sz w:val="6"/>
        </w:rPr>
      </w:pPr>
    </w:p>
    <w:p w14:paraId="465FB2C0" w14:textId="651B5024" w:rsidR="00D30920" w:rsidRPr="008321E7" w:rsidRDefault="00D30920" w:rsidP="00D30920">
      <w:pPr>
        <w:jc w:val="both"/>
        <w:rPr>
          <w:rFonts w:ascii="Arial" w:hAnsi="Arial" w:cs="Arial"/>
          <w:b/>
          <w:bCs/>
          <w:sz w:val="28"/>
        </w:rPr>
      </w:pPr>
      <w:r w:rsidRPr="008321E7">
        <w:rPr>
          <w:rFonts w:ascii="Arial" w:hAnsi="Arial" w:cs="Arial"/>
          <w:b/>
          <w:bCs/>
          <w:sz w:val="28"/>
        </w:rPr>
        <w:t>2.</w:t>
      </w:r>
      <w:r>
        <w:rPr>
          <w:rFonts w:ascii="Arial" w:hAnsi="Arial" w:cs="Arial"/>
          <w:b/>
          <w:bCs/>
          <w:sz w:val="28"/>
        </w:rPr>
        <w:t>1</w:t>
      </w:r>
      <w:r w:rsidRPr="008321E7">
        <w:rPr>
          <w:rFonts w:ascii="Arial" w:hAnsi="Arial" w:cs="Arial"/>
          <w:b/>
          <w:bCs/>
          <w:sz w:val="28"/>
        </w:rPr>
        <w:t xml:space="preserve"> </w:t>
      </w:r>
      <w:r w:rsidR="00700B6D">
        <w:rPr>
          <w:rFonts w:ascii="Arial" w:hAnsi="Arial" w:cs="Arial"/>
          <w:b/>
          <w:bCs/>
          <w:sz w:val="28"/>
        </w:rPr>
        <w:t>NTN User Density based on UL Link Budget</w:t>
      </w:r>
    </w:p>
    <w:p w14:paraId="1A505EF6" w14:textId="77777777" w:rsidR="00025537" w:rsidRDefault="00025537" w:rsidP="00025537">
      <w:pPr>
        <w:jc w:val="both"/>
        <w:rPr>
          <w:rFonts w:ascii="Arial" w:hAnsi="Arial" w:cs="Arial"/>
          <w:bCs/>
        </w:rPr>
      </w:pPr>
      <w:r>
        <w:rPr>
          <w:rFonts w:ascii="Arial" w:hAnsi="Arial" w:cs="Arial"/>
          <w:bCs/>
        </w:rPr>
        <w:t>First we would like to estimate user (UE) density in NTN using UL link budget. For this, we assume the following parameters:</w:t>
      </w:r>
    </w:p>
    <w:p w14:paraId="1E755A11" w14:textId="77777777" w:rsidR="00025537" w:rsidRPr="00BD48CB" w:rsidRDefault="00025537" w:rsidP="00025537">
      <w:pPr>
        <w:pStyle w:val="ListParagraph"/>
        <w:numPr>
          <w:ilvl w:val="0"/>
          <w:numId w:val="20"/>
        </w:numPr>
        <w:rPr>
          <w:rFonts w:ascii="Arial" w:hAnsi="Arial" w:cs="Arial"/>
          <w:sz w:val="20"/>
          <w:szCs w:val="20"/>
        </w:rPr>
      </w:pPr>
      <w:r w:rsidRPr="00BD48CB">
        <w:rPr>
          <w:rFonts w:ascii="Arial" w:hAnsi="Arial" w:cs="Arial"/>
          <w:sz w:val="20"/>
          <w:szCs w:val="20"/>
        </w:rPr>
        <w:t>Activity factor = 1.5%  (Pedestrian)</w:t>
      </w:r>
    </w:p>
    <w:p w14:paraId="170CED89" w14:textId="77777777" w:rsidR="00025537" w:rsidRPr="00BD48CB" w:rsidRDefault="00025537" w:rsidP="00025537">
      <w:pPr>
        <w:pStyle w:val="ListParagraph"/>
        <w:numPr>
          <w:ilvl w:val="0"/>
          <w:numId w:val="20"/>
        </w:numPr>
        <w:rPr>
          <w:rFonts w:ascii="Arial" w:hAnsi="Arial" w:cs="Arial"/>
          <w:sz w:val="20"/>
          <w:szCs w:val="20"/>
        </w:rPr>
      </w:pPr>
      <w:r w:rsidRPr="00BD48CB">
        <w:rPr>
          <w:rFonts w:ascii="Arial" w:hAnsi="Arial" w:cs="Arial"/>
          <w:sz w:val="20"/>
          <w:szCs w:val="20"/>
        </w:rPr>
        <w:t>Experience User data rates: 60 kbps</w:t>
      </w:r>
    </w:p>
    <w:p w14:paraId="66014C73" w14:textId="77777777" w:rsidR="00025537" w:rsidRPr="00BD48CB" w:rsidRDefault="00025537" w:rsidP="00025537">
      <w:pPr>
        <w:pStyle w:val="ListParagraph"/>
        <w:numPr>
          <w:ilvl w:val="0"/>
          <w:numId w:val="20"/>
        </w:numPr>
        <w:rPr>
          <w:rFonts w:ascii="Arial" w:hAnsi="Arial" w:cs="Arial"/>
          <w:sz w:val="20"/>
          <w:szCs w:val="20"/>
        </w:rPr>
      </w:pPr>
      <w:r w:rsidRPr="00BD48CB">
        <w:rPr>
          <w:rFonts w:ascii="Arial" w:hAnsi="Arial" w:cs="Arial"/>
          <w:sz w:val="20"/>
          <w:szCs w:val="20"/>
        </w:rPr>
        <w:t>Beam spot diameter = 100 km</w:t>
      </w:r>
    </w:p>
    <w:p w14:paraId="7756566A" w14:textId="77777777" w:rsidR="00025537" w:rsidRDefault="00025537" w:rsidP="00025537">
      <w:pPr>
        <w:jc w:val="both"/>
        <w:rPr>
          <w:rFonts w:ascii="Arial" w:hAnsi="Arial" w:cs="Arial"/>
          <w:bCs/>
        </w:rPr>
      </w:pPr>
    </w:p>
    <w:p w14:paraId="5DC14347" w14:textId="2C6B4E15" w:rsidR="00BD48CB" w:rsidRPr="00BD48CB" w:rsidRDefault="00025537" w:rsidP="00025537">
      <w:pPr>
        <w:jc w:val="both"/>
        <w:rPr>
          <w:rFonts w:ascii="Arial" w:hAnsi="Arial" w:cs="Arial"/>
        </w:rPr>
      </w:pPr>
      <w:r>
        <w:rPr>
          <w:rFonts w:ascii="Arial" w:hAnsi="Arial" w:cs="Arial"/>
          <w:bCs/>
        </w:rPr>
        <w:t xml:space="preserve">Based on these parameters, </w:t>
      </w:r>
      <w:r>
        <w:rPr>
          <w:rFonts w:ascii="Arial" w:hAnsi="Arial" w:cs="Arial"/>
        </w:rPr>
        <w:t>maximum</w:t>
      </w:r>
      <w:r w:rsidR="00BD48CB" w:rsidRPr="00025537">
        <w:rPr>
          <w:rFonts w:ascii="Arial" w:hAnsi="Arial" w:cs="Arial"/>
        </w:rPr>
        <w:t xml:space="preserve"> </w:t>
      </w:r>
      <w:r>
        <w:rPr>
          <w:rFonts w:ascii="Arial" w:hAnsi="Arial" w:cs="Arial"/>
        </w:rPr>
        <w:t>users (</w:t>
      </w:r>
      <w:r w:rsidR="00BD48CB" w:rsidRPr="00025537">
        <w:rPr>
          <w:rFonts w:ascii="Arial" w:hAnsi="Arial" w:cs="Arial"/>
        </w:rPr>
        <w:t>UEs</w:t>
      </w:r>
      <w:r>
        <w:rPr>
          <w:rFonts w:ascii="Arial" w:hAnsi="Arial" w:cs="Arial"/>
        </w:rPr>
        <w:t>)</w:t>
      </w:r>
      <w:r w:rsidR="00BD48CB" w:rsidRPr="00025537">
        <w:rPr>
          <w:rFonts w:ascii="Arial" w:hAnsi="Arial" w:cs="Arial"/>
        </w:rPr>
        <w:t xml:space="preserve"> per beam spot </w:t>
      </w:r>
      <w:r w:rsidRPr="00025537">
        <w:rPr>
          <w:rFonts w:ascii="Arial" w:hAnsi="Arial" w:cs="Arial"/>
        </w:rPr>
        <w:t xml:space="preserve">at satellite nadir </w:t>
      </w:r>
      <w:r>
        <w:rPr>
          <w:rFonts w:ascii="Arial" w:hAnsi="Arial" w:cs="Arial"/>
        </w:rPr>
        <w:t>can be estimated as:</w:t>
      </w:r>
      <w:r w:rsidRPr="00025537">
        <w:rPr>
          <w:rFonts w:ascii="Arial" w:hAnsi="Arial" w:cs="Arial"/>
        </w:rPr>
        <w:t xml:space="preserve"> </w:t>
      </w:r>
      <w:r>
        <w:rPr>
          <w:rFonts w:ascii="Arial" w:hAnsi="Arial" w:cs="Arial"/>
        </w:rPr>
        <w:t xml:space="preserve"> </w:t>
      </w:r>
      <w:r w:rsidR="00BD48CB" w:rsidRPr="00025537">
        <w:rPr>
          <w:rFonts w:ascii="Arial" w:hAnsi="Arial" w:cs="Arial"/>
        </w:rPr>
        <w:t>1.061 Mbps/0.015/60 kbps= 1</w:t>
      </w:r>
      <w:r>
        <w:rPr>
          <w:rFonts w:ascii="Arial" w:hAnsi="Arial" w:cs="Arial"/>
        </w:rPr>
        <w:t>,</w:t>
      </w:r>
      <w:r w:rsidR="00BD48CB" w:rsidRPr="00025537">
        <w:rPr>
          <w:rFonts w:ascii="Arial" w:hAnsi="Arial" w:cs="Arial"/>
        </w:rPr>
        <w:t>178 UEs</w:t>
      </w:r>
      <w:r>
        <w:rPr>
          <w:rFonts w:ascii="Arial" w:hAnsi="Arial" w:cs="Arial"/>
        </w:rPr>
        <w:t xml:space="preserve">. This results in </w:t>
      </w:r>
      <w:r w:rsidR="00BD48CB" w:rsidRPr="00BD48CB">
        <w:rPr>
          <w:rFonts w:ascii="Arial" w:hAnsi="Arial" w:cs="Arial"/>
        </w:rPr>
        <w:t xml:space="preserve">UE density = </w:t>
      </w:r>
      <w:r>
        <w:rPr>
          <w:rFonts w:ascii="Arial" w:hAnsi="Arial" w:cs="Arial"/>
        </w:rPr>
        <w:t xml:space="preserve">0.149 per sq. km. </w:t>
      </w:r>
      <w:r w:rsidRPr="00025537">
        <w:rPr>
          <w:rFonts w:ascii="Arial" w:hAnsi="Arial" w:cs="Arial"/>
          <w:i/>
        </w:rPr>
        <w:t>(=</w:t>
      </w:r>
      <w:r w:rsidR="00BD48CB" w:rsidRPr="00025537">
        <w:rPr>
          <w:rFonts w:ascii="Arial" w:hAnsi="Arial" w:cs="Arial"/>
          <w:i/>
        </w:rPr>
        <w:t>1</w:t>
      </w:r>
      <w:r>
        <w:rPr>
          <w:rFonts w:ascii="Arial" w:hAnsi="Arial" w:cs="Arial"/>
          <w:i/>
        </w:rPr>
        <w:t>,</w:t>
      </w:r>
      <w:r w:rsidR="00BD48CB" w:rsidRPr="00025537">
        <w:rPr>
          <w:rFonts w:ascii="Arial" w:hAnsi="Arial" w:cs="Arial"/>
          <w:i/>
        </w:rPr>
        <w:t xml:space="preserve">178 / </w:t>
      </w:r>
      <w:r w:rsidRPr="00025537">
        <w:rPr>
          <w:rFonts w:ascii="Arial" w:hAnsi="Arial" w:cs="Arial"/>
          <w:i/>
        </w:rPr>
        <w:t>π</w:t>
      </w:r>
      <w:r>
        <w:rPr>
          <w:rFonts w:ascii="Arial" w:hAnsi="Arial" w:cs="Arial"/>
          <w:i/>
        </w:rPr>
        <w:t>*50</w:t>
      </w:r>
      <w:r w:rsidR="00BD48CB" w:rsidRPr="00025537">
        <w:rPr>
          <w:rFonts w:ascii="Arial" w:hAnsi="Arial" w:cs="Arial"/>
          <w:i/>
          <w:vertAlign w:val="superscript"/>
        </w:rPr>
        <w:t>2</w:t>
      </w:r>
      <w:r>
        <w:rPr>
          <w:rFonts w:ascii="Arial" w:hAnsi="Arial" w:cs="Arial"/>
        </w:rPr>
        <w:t xml:space="preserve">). </w:t>
      </w:r>
      <w:r w:rsidR="00BD48CB" w:rsidRPr="00BD48CB">
        <w:rPr>
          <w:rFonts w:ascii="Arial" w:hAnsi="Arial" w:cs="Arial"/>
        </w:rPr>
        <w:t xml:space="preserve">Assuming </w:t>
      </w:r>
      <w:r>
        <w:rPr>
          <w:rFonts w:ascii="Arial" w:hAnsi="Arial" w:cs="Arial"/>
        </w:rPr>
        <w:t xml:space="preserve">30 MHz UL band and </w:t>
      </w:r>
      <w:r w:rsidR="00BD48CB" w:rsidRPr="00BD48CB">
        <w:rPr>
          <w:rFonts w:ascii="Arial" w:hAnsi="Arial" w:cs="Arial"/>
        </w:rPr>
        <w:t>with frequency reuse 1:3</w:t>
      </w:r>
      <w:r>
        <w:rPr>
          <w:rFonts w:ascii="Arial" w:hAnsi="Arial" w:cs="Arial"/>
        </w:rPr>
        <w:t xml:space="preserve">, around </w:t>
      </w:r>
      <w:r w:rsidR="00BD48CB" w:rsidRPr="00025537">
        <w:rPr>
          <w:rFonts w:ascii="Arial" w:hAnsi="Arial" w:cs="Arial"/>
          <w:b/>
          <w:i/>
        </w:rPr>
        <w:t>11,780</w:t>
      </w:r>
      <w:r w:rsidR="00BD48CB" w:rsidRPr="00025537">
        <w:rPr>
          <w:rFonts w:ascii="Arial" w:hAnsi="Arial" w:cs="Arial"/>
          <w:i/>
        </w:rPr>
        <w:t xml:space="preserve"> </w:t>
      </w:r>
      <w:r w:rsidRPr="00025537">
        <w:rPr>
          <w:rFonts w:ascii="Arial" w:hAnsi="Arial" w:cs="Arial"/>
          <w:i/>
        </w:rPr>
        <w:t>(= 1,178 x 10)</w:t>
      </w:r>
      <w:r>
        <w:rPr>
          <w:rFonts w:ascii="Arial" w:hAnsi="Arial" w:cs="Arial"/>
        </w:rPr>
        <w:t xml:space="preserve"> </w:t>
      </w:r>
      <w:r w:rsidR="00BD48CB" w:rsidRPr="00BD48CB">
        <w:rPr>
          <w:rFonts w:ascii="Arial" w:hAnsi="Arial" w:cs="Arial"/>
        </w:rPr>
        <w:t xml:space="preserve">UEs transmitting </w:t>
      </w:r>
      <w:r>
        <w:rPr>
          <w:rFonts w:ascii="Arial" w:hAnsi="Arial" w:cs="Arial"/>
        </w:rPr>
        <w:t>can be supported.</w:t>
      </w:r>
      <w:r w:rsidR="00A27A5F">
        <w:rPr>
          <w:rFonts w:ascii="Arial" w:hAnsi="Arial" w:cs="Arial"/>
        </w:rPr>
        <w:t xml:space="preserve"> Table below shows the number of UEs per beam spot for two different available data rates and</w:t>
      </w:r>
      <w:r w:rsidR="008E1924">
        <w:rPr>
          <w:rFonts w:ascii="Arial" w:hAnsi="Arial" w:cs="Arial"/>
        </w:rPr>
        <w:t xml:space="preserve"> three different beam spot diame</w:t>
      </w:r>
      <w:r w:rsidR="00A27A5F">
        <w:rPr>
          <w:rFonts w:ascii="Arial" w:hAnsi="Arial" w:cs="Arial"/>
        </w:rPr>
        <w:t>ters.</w:t>
      </w:r>
    </w:p>
    <w:p w14:paraId="5A3ED66E" w14:textId="77777777" w:rsidR="00BD48CB" w:rsidRDefault="00BD48CB" w:rsidP="00BD48CB">
      <w:pPr>
        <w:rPr>
          <w:color w:val="1F497D"/>
        </w:rPr>
      </w:pPr>
    </w:p>
    <w:tbl>
      <w:tblPr>
        <w:tblStyle w:val="TableGrid"/>
        <w:tblW w:w="0" w:type="auto"/>
        <w:jc w:val="center"/>
        <w:tblLook w:val="04A0" w:firstRow="1" w:lastRow="0" w:firstColumn="1" w:lastColumn="0" w:noHBand="0" w:noVBand="1"/>
      </w:tblPr>
      <w:tblGrid>
        <w:gridCol w:w="1615"/>
        <w:gridCol w:w="1890"/>
        <w:gridCol w:w="1620"/>
        <w:gridCol w:w="1080"/>
        <w:gridCol w:w="1170"/>
        <w:gridCol w:w="1170"/>
      </w:tblGrid>
      <w:tr w:rsidR="00025537" w:rsidRPr="00025537" w14:paraId="53EA96DF" w14:textId="77777777" w:rsidTr="00625A03">
        <w:trPr>
          <w:jc w:val="center"/>
        </w:trPr>
        <w:tc>
          <w:tcPr>
            <w:tcW w:w="8545" w:type="dxa"/>
            <w:gridSpan w:val="6"/>
          </w:tcPr>
          <w:p w14:paraId="6E30744D" w14:textId="004A1024" w:rsidR="00BD48CB" w:rsidRPr="00025537" w:rsidRDefault="00BD48CB" w:rsidP="00BD48CB">
            <w:pPr>
              <w:jc w:val="center"/>
            </w:pPr>
            <w:r w:rsidRPr="00025537">
              <w:rPr>
                <w:b/>
                <w:bCs/>
              </w:rPr>
              <w:t>UE Density per km</w:t>
            </w:r>
            <w:r w:rsidRPr="00025537">
              <w:rPr>
                <w:b/>
                <w:bCs/>
                <w:vertAlign w:val="superscript"/>
              </w:rPr>
              <w:t>2</w:t>
            </w:r>
            <w:r w:rsidRPr="00025537">
              <w:rPr>
                <w:b/>
                <w:bCs/>
              </w:rPr>
              <w:t xml:space="preserve"> for UL (Activity factor = 1.5%)</w:t>
            </w:r>
          </w:p>
        </w:tc>
      </w:tr>
      <w:tr w:rsidR="00025537" w:rsidRPr="00025537" w14:paraId="43654703" w14:textId="77777777" w:rsidTr="00625A03">
        <w:trPr>
          <w:jc w:val="center"/>
        </w:trPr>
        <w:tc>
          <w:tcPr>
            <w:tcW w:w="1615" w:type="dxa"/>
            <w:vMerge w:val="restart"/>
          </w:tcPr>
          <w:p w14:paraId="69AACE3D" w14:textId="69BAAF3A" w:rsidR="00BD48CB" w:rsidRPr="00025537" w:rsidRDefault="00BD48CB" w:rsidP="00BD48CB">
            <w:r w:rsidRPr="00025537">
              <w:rPr>
                <w:b/>
                <w:bCs/>
              </w:rPr>
              <w:t>Elevation angle</w:t>
            </w:r>
          </w:p>
        </w:tc>
        <w:tc>
          <w:tcPr>
            <w:tcW w:w="1890" w:type="dxa"/>
            <w:vMerge w:val="restart"/>
          </w:tcPr>
          <w:p w14:paraId="58B6E335" w14:textId="39E14433" w:rsidR="00BD48CB" w:rsidRPr="00025537" w:rsidRDefault="00BD48CB" w:rsidP="00BD48CB">
            <w:r w:rsidRPr="00025537">
              <w:rPr>
                <w:b/>
                <w:bCs/>
              </w:rPr>
              <w:t>Available data rate</w:t>
            </w:r>
          </w:p>
        </w:tc>
        <w:tc>
          <w:tcPr>
            <w:tcW w:w="1620" w:type="dxa"/>
            <w:vMerge w:val="restart"/>
          </w:tcPr>
          <w:p w14:paraId="7B375B6A" w14:textId="1202233C" w:rsidR="00BD48CB" w:rsidRPr="00025537" w:rsidRDefault="00BD48CB" w:rsidP="00BD48CB">
            <w:r w:rsidRPr="00025537">
              <w:rPr>
                <w:b/>
                <w:bCs/>
              </w:rPr>
              <w:t>Number of UEs per beam spot</w:t>
            </w:r>
          </w:p>
        </w:tc>
        <w:tc>
          <w:tcPr>
            <w:tcW w:w="3420" w:type="dxa"/>
            <w:gridSpan w:val="3"/>
          </w:tcPr>
          <w:p w14:paraId="5E6E2A9A" w14:textId="681D7621" w:rsidR="00BD48CB" w:rsidRPr="00025537" w:rsidRDefault="00866282" w:rsidP="00BD48CB">
            <w:pPr>
              <w:jc w:val="center"/>
            </w:pPr>
            <w:r>
              <w:rPr>
                <w:b/>
                <w:bCs/>
              </w:rPr>
              <w:t>User (UE) density per sq. km.</w:t>
            </w:r>
          </w:p>
        </w:tc>
      </w:tr>
      <w:tr w:rsidR="00025537" w:rsidRPr="00025537" w14:paraId="1730C23F" w14:textId="77777777" w:rsidTr="00625A03">
        <w:trPr>
          <w:jc w:val="center"/>
        </w:trPr>
        <w:tc>
          <w:tcPr>
            <w:tcW w:w="1615" w:type="dxa"/>
            <w:vMerge/>
          </w:tcPr>
          <w:p w14:paraId="1F621B9A" w14:textId="77777777" w:rsidR="00BD48CB" w:rsidRPr="00025537" w:rsidRDefault="00BD48CB" w:rsidP="00BD48CB"/>
        </w:tc>
        <w:tc>
          <w:tcPr>
            <w:tcW w:w="1890" w:type="dxa"/>
            <w:vMerge/>
          </w:tcPr>
          <w:p w14:paraId="11C9B0CD" w14:textId="77777777" w:rsidR="00BD48CB" w:rsidRPr="00025537" w:rsidRDefault="00BD48CB" w:rsidP="00BD48CB"/>
        </w:tc>
        <w:tc>
          <w:tcPr>
            <w:tcW w:w="1620" w:type="dxa"/>
            <w:vMerge/>
          </w:tcPr>
          <w:p w14:paraId="01905163" w14:textId="77777777" w:rsidR="00BD48CB" w:rsidRPr="00025537" w:rsidRDefault="00BD48CB" w:rsidP="00BD48CB"/>
        </w:tc>
        <w:tc>
          <w:tcPr>
            <w:tcW w:w="1080" w:type="dxa"/>
          </w:tcPr>
          <w:p w14:paraId="188EFD30" w14:textId="3E591E79" w:rsidR="00BD48CB" w:rsidRPr="00025537" w:rsidRDefault="00625A03" w:rsidP="00BD48CB">
            <w:r>
              <w:rPr>
                <w:b/>
                <w:bCs/>
              </w:rPr>
              <w:t xml:space="preserve">r = </w:t>
            </w:r>
            <w:r w:rsidR="00BD48CB" w:rsidRPr="00025537">
              <w:rPr>
                <w:b/>
                <w:bCs/>
              </w:rPr>
              <w:t>50 km</w:t>
            </w:r>
          </w:p>
        </w:tc>
        <w:tc>
          <w:tcPr>
            <w:tcW w:w="1170" w:type="dxa"/>
          </w:tcPr>
          <w:p w14:paraId="4093D316" w14:textId="0D4B3D6E" w:rsidR="00BD48CB" w:rsidRPr="00025537" w:rsidRDefault="00625A03" w:rsidP="00BD48CB">
            <w:r>
              <w:rPr>
                <w:b/>
                <w:bCs/>
              </w:rPr>
              <w:t xml:space="preserve">r = </w:t>
            </w:r>
            <w:r w:rsidR="00BD48CB" w:rsidRPr="00025537">
              <w:rPr>
                <w:b/>
                <w:bCs/>
              </w:rPr>
              <w:t>100 km</w:t>
            </w:r>
          </w:p>
        </w:tc>
        <w:tc>
          <w:tcPr>
            <w:tcW w:w="1170" w:type="dxa"/>
          </w:tcPr>
          <w:p w14:paraId="0215BE43" w14:textId="5CE171EE" w:rsidR="00BD48CB" w:rsidRPr="00025537" w:rsidRDefault="00625A03" w:rsidP="00BD48CB">
            <w:r>
              <w:rPr>
                <w:b/>
                <w:bCs/>
              </w:rPr>
              <w:t xml:space="preserve">r = </w:t>
            </w:r>
            <w:r w:rsidR="00BD48CB" w:rsidRPr="00025537">
              <w:rPr>
                <w:b/>
                <w:bCs/>
              </w:rPr>
              <w:t>200 km</w:t>
            </w:r>
          </w:p>
        </w:tc>
      </w:tr>
      <w:tr w:rsidR="00025537" w:rsidRPr="00025537" w14:paraId="5936C971" w14:textId="77777777" w:rsidTr="00625A03">
        <w:trPr>
          <w:jc w:val="center"/>
        </w:trPr>
        <w:tc>
          <w:tcPr>
            <w:tcW w:w="1615" w:type="dxa"/>
          </w:tcPr>
          <w:p w14:paraId="44989D51" w14:textId="1BAE5299" w:rsidR="00BD48CB" w:rsidRPr="00025537" w:rsidRDefault="00BD48CB" w:rsidP="00BD48CB">
            <w:r w:rsidRPr="00025537">
              <w:t>30 degree</w:t>
            </w:r>
          </w:p>
        </w:tc>
        <w:tc>
          <w:tcPr>
            <w:tcW w:w="1890" w:type="dxa"/>
          </w:tcPr>
          <w:p w14:paraId="2DD80046" w14:textId="09A377B9" w:rsidR="00BD48CB" w:rsidRPr="00025537" w:rsidRDefault="00BD48CB" w:rsidP="00BD48CB">
            <w:r w:rsidRPr="00025537">
              <w:t>506 kbps</w:t>
            </w:r>
          </w:p>
        </w:tc>
        <w:tc>
          <w:tcPr>
            <w:tcW w:w="1620" w:type="dxa"/>
          </w:tcPr>
          <w:p w14:paraId="528F3AB8" w14:textId="5F34BA43" w:rsidR="00BD48CB" w:rsidRPr="00025537" w:rsidRDefault="00BD48CB" w:rsidP="00BD48CB">
            <w:r w:rsidRPr="00025537">
              <w:t>562 UEs</w:t>
            </w:r>
          </w:p>
        </w:tc>
        <w:tc>
          <w:tcPr>
            <w:tcW w:w="1080" w:type="dxa"/>
          </w:tcPr>
          <w:p w14:paraId="5BCC9503" w14:textId="04DA962D" w:rsidR="00BD48CB" w:rsidRPr="00025537" w:rsidRDefault="00BD48CB" w:rsidP="00BD48CB">
            <w:r w:rsidRPr="00025537">
              <w:t>0.286</w:t>
            </w:r>
          </w:p>
        </w:tc>
        <w:tc>
          <w:tcPr>
            <w:tcW w:w="1170" w:type="dxa"/>
          </w:tcPr>
          <w:p w14:paraId="527D6AB5" w14:textId="50BFFD29" w:rsidR="00BD48CB" w:rsidRPr="00025537" w:rsidRDefault="00BD48CB" w:rsidP="00BD48CB">
            <w:r w:rsidRPr="00025537">
              <w:t>0.071</w:t>
            </w:r>
          </w:p>
        </w:tc>
        <w:tc>
          <w:tcPr>
            <w:tcW w:w="1170" w:type="dxa"/>
          </w:tcPr>
          <w:p w14:paraId="30737AB2" w14:textId="705FEC4D" w:rsidR="00BD48CB" w:rsidRPr="00025537" w:rsidRDefault="00BD48CB" w:rsidP="00BD48CB">
            <w:r w:rsidRPr="00025537">
              <w:t>0.017</w:t>
            </w:r>
          </w:p>
        </w:tc>
      </w:tr>
      <w:tr w:rsidR="008E1924" w:rsidRPr="00025537" w14:paraId="1270F972" w14:textId="77777777" w:rsidTr="00625A03">
        <w:trPr>
          <w:jc w:val="center"/>
        </w:trPr>
        <w:tc>
          <w:tcPr>
            <w:tcW w:w="1615" w:type="dxa"/>
          </w:tcPr>
          <w:p w14:paraId="25DAD888" w14:textId="2AF94115" w:rsidR="00BD48CB" w:rsidRPr="00025537" w:rsidRDefault="00BD48CB" w:rsidP="00BD48CB">
            <w:r w:rsidRPr="00025537">
              <w:t>90 degrees</w:t>
            </w:r>
          </w:p>
        </w:tc>
        <w:tc>
          <w:tcPr>
            <w:tcW w:w="1890" w:type="dxa"/>
          </w:tcPr>
          <w:p w14:paraId="57B1A322" w14:textId="374286E4" w:rsidR="00BD48CB" w:rsidRPr="00025537" w:rsidRDefault="00BD48CB" w:rsidP="00BD48CB">
            <w:r w:rsidRPr="00025537">
              <w:t>1.06 Mbps</w:t>
            </w:r>
          </w:p>
        </w:tc>
        <w:tc>
          <w:tcPr>
            <w:tcW w:w="1620" w:type="dxa"/>
          </w:tcPr>
          <w:p w14:paraId="54CC455D" w14:textId="2B9F35B3" w:rsidR="00BD48CB" w:rsidRPr="00025537" w:rsidRDefault="00BD48CB" w:rsidP="00BD48CB">
            <w:r w:rsidRPr="00025537">
              <w:t>1</w:t>
            </w:r>
            <w:r w:rsidR="008E1924">
              <w:t>,</w:t>
            </w:r>
            <w:r w:rsidRPr="00025537">
              <w:t>178 UEs</w:t>
            </w:r>
          </w:p>
        </w:tc>
        <w:tc>
          <w:tcPr>
            <w:tcW w:w="1080" w:type="dxa"/>
          </w:tcPr>
          <w:p w14:paraId="3B8DDDD9" w14:textId="6CF6DE94" w:rsidR="00BD48CB" w:rsidRPr="00025537" w:rsidRDefault="00BD48CB" w:rsidP="00BD48CB">
            <w:r w:rsidRPr="00025537">
              <w:t>0.599</w:t>
            </w:r>
          </w:p>
        </w:tc>
        <w:tc>
          <w:tcPr>
            <w:tcW w:w="1170" w:type="dxa"/>
          </w:tcPr>
          <w:p w14:paraId="4C84983C" w14:textId="55C5CF8C" w:rsidR="00BD48CB" w:rsidRPr="00025537" w:rsidRDefault="00BD48CB" w:rsidP="00BD48CB">
            <w:r w:rsidRPr="00025537">
              <w:t>0.149</w:t>
            </w:r>
          </w:p>
        </w:tc>
        <w:tc>
          <w:tcPr>
            <w:tcW w:w="1170" w:type="dxa"/>
          </w:tcPr>
          <w:p w14:paraId="15D11DCD" w14:textId="20B80A66" w:rsidR="00BD48CB" w:rsidRPr="00025537" w:rsidRDefault="00BD48CB" w:rsidP="00BD48CB">
            <w:r w:rsidRPr="00025537">
              <w:t>0.037</w:t>
            </w:r>
          </w:p>
        </w:tc>
      </w:tr>
    </w:tbl>
    <w:p w14:paraId="4FCAE289" w14:textId="77777777" w:rsidR="00C73CEF" w:rsidRDefault="00C73CEF" w:rsidP="00BD48CB"/>
    <w:p w14:paraId="35618AD2" w14:textId="145A8570" w:rsidR="00C73CEF" w:rsidRPr="00C73CEF" w:rsidRDefault="00C73CEF" w:rsidP="00BD48CB">
      <w:pPr>
        <w:rPr>
          <w:rFonts w:ascii="Arial" w:hAnsi="Arial" w:cs="Arial"/>
          <w:b/>
        </w:rPr>
      </w:pPr>
      <w:r w:rsidRPr="00C73CEF">
        <w:rPr>
          <w:rFonts w:ascii="Arial" w:hAnsi="Arial" w:cs="Arial"/>
          <w:b/>
        </w:rPr>
        <w:t xml:space="preserve">Observation-1: With </w:t>
      </w:r>
      <w:r>
        <w:rPr>
          <w:rFonts w:ascii="Arial" w:hAnsi="Arial" w:cs="Arial"/>
          <w:b/>
        </w:rPr>
        <w:t>1.5% activity factor and 100kms beam spot diameter</w:t>
      </w:r>
      <w:r w:rsidR="008E1924">
        <w:rPr>
          <w:rFonts w:ascii="Arial" w:hAnsi="Arial" w:cs="Arial"/>
          <w:b/>
        </w:rPr>
        <w:t xml:space="preserve"> and uplink user data rate of 60kbps, NTN can</w:t>
      </w:r>
      <w:r w:rsidR="00625A03">
        <w:rPr>
          <w:rFonts w:ascii="Arial" w:hAnsi="Arial" w:cs="Arial"/>
          <w:b/>
        </w:rPr>
        <w:t xml:space="preserve"> support a user density of 0.149.</w:t>
      </w:r>
    </w:p>
    <w:p w14:paraId="0609D997" w14:textId="77777777" w:rsidR="008B135C" w:rsidRDefault="008B135C" w:rsidP="00E2227D">
      <w:pPr>
        <w:jc w:val="both"/>
        <w:rPr>
          <w:rFonts w:ascii="Arial" w:hAnsi="Arial" w:cs="Arial"/>
          <w:bCs/>
        </w:rPr>
      </w:pPr>
    </w:p>
    <w:p w14:paraId="5E09509E" w14:textId="07B8B819" w:rsidR="008321E7" w:rsidRPr="008321E7" w:rsidRDefault="008321E7" w:rsidP="00E2227D">
      <w:pPr>
        <w:jc w:val="both"/>
        <w:rPr>
          <w:rFonts w:ascii="Arial" w:hAnsi="Arial" w:cs="Arial"/>
          <w:b/>
          <w:bCs/>
          <w:sz w:val="28"/>
        </w:rPr>
      </w:pPr>
      <w:r w:rsidRPr="008321E7">
        <w:rPr>
          <w:rFonts w:ascii="Arial" w:hAnsi="Arial" w:cs="Arial"/>
          <w:b/>
          <w:bCs/>
          <w:sz w:val="28"/>
        </w:rPr>
        <w:t>2.</w:t>
      </w:r>
      <w:r w:rsidR="00D30920">
        <w:rPr>
          <w:rFonts w:ascii="Arial" w:hAnsi="Arial" w:cs="Arial"/>
          <w:b/>
          <w:bCs/>
          <w:sz w:val="28"/>
        </w:rPr>
        <w:t>2</w:t>
      </w:r>
      <w:r w:rsidRPr="008321E7">
        <w:rPr>
          <w:rFonts w:ascii="Arial" w:hAnsi="Arial" w:cs="Arial"/>
          <w:b/>
          <w:bCs/>
          <w:sz w:val="28"/>
        </w:rPr>
        <w:t xml:space="preserve"> </w:t>
      </w:r>
      <w:r w:rsidR="00866282">
        <w:rPr>
          <w:rFonts w:ascii="Arial" w:hAnsi="Arial" w:cs="Arial"/>
          <w:b/>
          <w:bCs/>
          <w:sz w:val="28"/>
        </w:rPr>
        <w:t xml:space="preserve">Overview of </w:t>
      </w:r>
      <w:r w:rsidR="00916D6E">
        <w:rPr>
          <w:rFonts w:ascii="Arial" w:hAnsi="Arial" w:cs="Arial"/>
          <w:b/>
          <w:bCs/>
          <w:sz w:val="28"/>
        </w:rPr>
        <w:t>RACH Capacity Analysis [2</w:t>
      </w:r>
      <w:r w:rsidR="00866282">
        <w:rPr>
          <w:rFonts w:ascii="Arial" w:hAnsi="Arial" w:cs="Arial"/>
          <w:b/>
          <w:bCs/>
          <w:sz w:val="28"/>
        </w:rPr>
        <w:t>, 3</w:t>
      </w:r>
      <w:r w:rsidR="00916D6E">
        <w:rPr>
          <w:rFonts w:ascii="Arial" w:hAnsi="Arial" w:cs="Arial"/>
          <w:b/>
          <w:bCs/>
          <w:sz w:val="28"/>
        </w:rPr>
        <w:t>]</w:t>
      </w:r>
    </w:p>
    <w:p w14:paraId="691DFBCD" w14:textId="719845C7" w:rsidR="00866282" w:rsidRPr="00866282" w:rsidRDefault="00EF0D69" w:rsidP="00866282">
      <w:pPr>
        <w:jc w:val="both"/>
        <w:rPr>
          <w:rFonts w:ascii="Arial" w:hAnsi="Arial" w:cs="Arial"/>
          <w:bCs/>
          <w:szCs w:val="21"/>
          <w:lang w:val="en-US"/>
        </w:rPr>
      </w:pPr>
      <w:r>
        <w:rPr>
          <w:rFonts w:ascii="Arial" w:hAnsi="Arial" w:cs="Arial"/>
          <w:bCs/>
          <w:szCs w:val="21"/>
          <w:lang w:val="en-US"/>
        </w:rPr>
        <w:t xml:space="preserve">Based on </w:t>
      </w:r>
      <w:r w:rsidR="00866282">
        <w:rPr>
          <w:rFonts w:ascii="Arial" w:hAnsi="Arial" w:cs="Arial"/>
          <w:bCs/>
          <w:szCs w:val="21"/>
          <w:lang w:val="en-US"/>
        </w:rPr>
        <w:t xml:space="preserve">the analysis in [2, 3], with </w:t>
      </w:r>
      <w:r w:rsidR="00866282" w:rsidRPr="00866282">
        <w:rPr>
          <w:rFonts w:ascii="Arial" w:hAnsi="Arial" w:cs="Arial"/>
          <w:bCs/>
          <w:szCs w:val="21"/>
          <w:lang w:val="en-US"/>
        </w:rPr>
        <w:t xml:space="preserve">RACH occasions </w:t>
      </w:r>
      <w:r w:rsidR="00866282">
        <w:rPr>
          <w:rFonts w:ascii="Arial" w:hAnsi="Arial" w:cs="Arial"/>
          <w:bCs/>
          <w:szCs w:val="21"/>
          <w:lang w:val="en-US"/>
        </w:rPr>
        <w:t xml:space="preserve">in </w:t>
      </w:r>
      <w:r w:rsidR="00866282" w:rsidRPr="00866282">
        <w:rPr>
          <w:rFonts w:ascii="Arial" w:hAnsi="Arial" w:cs="Arial"/>
          <w:bCs/>
          <w:szCs w:val="21"/>
          <w:lang w:val="en-US"/>
        </w:rPr>
        <w:t>every 2</w:t>
      </w:r>
      <w:r w:rsidR="00866282" w:rsidRPr="00866282">
        <w:rPr>
          <w:rFonts w:ascii="Arial" w:hAnsi="Arial" w:cs="Arial"/>
          <w:bCs/>
          <w:szCs w:val="21"/>
          <w:vertAlign w:val="superscript"/>
          <w:lang w:val="en-US"/>
        </w:rPr>
        <w:t>nd</w:t>
      </w:r>
      <w:r w:rsidR="00866282">
        <w:rPr>
          <w:rFonts w:ascii="Arial" w:hAnsi="Arial" w:cs="Arial"/>
          <w:bCs/>
          <w:szCs w:val="21"/>
          <w:lang w:val="en-US"/>
        </w:rPr>
        <w:t xml:space="preserve"> </w:t>
      </w:r>
      <w:r w:rsidR="00866282" w:rsidRPr="00866282">
        <w:rPr>
          <w:rFonts w:ascii="Arial" w:hAnsi="Arial" w:cs="Arial"/>
          <w:bCs/>
          <w:szCs w:val="21"/>
          <w:lang w:val="en-US"/>
        </w:rPr>
        <w:t>subframe</w:t>
      </w:r>
      <w:r w:rsidR="00866282">
        <w:rPr>
          <w:rFonts w:ascii="Arial" w:hAnsi="Arial" w:cs="Arial"/>
          <w:bCs/>
          <w:szCs w:val="21"/>
          <w:lang w:val="en-US"/>
        </w:rPr>
        <w:t>,</w:t>
      </w:r>
      <w:r w:rsidR="00866282" w:rsidRPr="00866282">
        <w:rPr>
          <w:rFonts w:ascii="Arial" w:hAnsi="Arial" w:cs="Arial"/>
          <w:bCs/>
          <w:szCs w:val="21"/>
          <w:lang w:val="en-US"/>
        </w:rPr>
        <w:t xml:space="preserve"> 8 </w:t>
      </w:r>
      <w:r w:rsidR="00866282">
        <w:rPr>
          <w:rFonts w:ascii="Arial" w:hAnsi="Arial" w:cs="Arial"/>
          <w:bCs/>
          <w:szCs w:val="21"/>
          <w:lang w:val="en-US"/>
        </w:rPr>
        <w:t>RACH opportunities in frequency,</w:t>
      </w:r>
      <w:r w:rsidR="00866282" w:rsidRPr="00866282">
        <w:rPr>
          <w:rFonts w:ascii="Arial" w:hAnsi="Arial" w:cs="Arial"/>
          <w:bCs/>
          <w:szCs w:val="21"/>
          <w:lang w:val="en-US"/>
        </w:rPr>
        <w:t xml:space="preserve"> 200kms</w:t>
      </w:r>
      <w:r w:rsidR="00866282">
        <w:rPr>
          <w:rFonts w:ascii="Arial" w:hAnsi="Arial" w:cs="Arial"/>
          <w:bCs/>
          <w:szCs w:val="21"/>
          <w:lang w:val="en-US"/>
        </w:rPr>
        <w:t xml:space="preserve"> </w:t>
      </w:r>
      <w:r w:rsidR="00866282" w:rsidRPr="00866282">
        <w:rPr>
          <w:rFonts w:ascii="Arial" w:hAnsi="Arial" w:cs="Arial"/>
          <w:bCs/>
          <w:szCs w:val="21"/>
          <w:lang w:val="en-US"/>
        </w:rPr>
        <w:t>beam</w:t>
      </w:r>
      <w:r w:rsidR="00866282">
        <w:rPr>
          <w:rFonts w:ascii="Arial" w:hAnsi="Arial" w:cs="Arial"/>
          <w:bCs/>
          <w:szCs w:val="21"/>
          <w:lang w:val="en-US"/>
        </w:rPr>
        <w:t xml:space="preserve"> </w:t>
      </w:r>
      <w:r w:rsidR="00866282" w:rsidRPr="00866282">
        <w:rPr>
          <w:rFonts w:ascii="Arial" w:hAnsi="Arial" w:cs="Arial"/>
          <w:bCs/>
          <w:szCs w:val="21"/>
          <w:lang w:val="en-US"/>
        </w:rPr>
        <w:t xml:space="preserve">spot diameter, 56 preambles </w:t>
      </w:r>
      <w:r w:rsidR="00866282">
        <w:rPr>
          <w:rFonts w:ascii="Arial" w:hAnsi="Arial" w:cs="Arial"/>
          <w:bCs/>
          <w:szCs w:val="21"/>
          <w:lang w:val="en-US"/>
        </w:rPr>
        <w:t>(CBRA),</w:t>
      </w:r>
      <w:r w:rsidR="00866282" w:rsidRPr="00866282">
        <w:rPr>
          <w:rFonts w:ascii="Arial" w:hAnsi="Arial" w:cs="Arial"/>
          <w:bCs/>
          <w:szCs w:val="21"/>
          <w:lang w:val="en-US"/>
        </w:rPr>
        <w:t xml:space="preserve"> 1%</w:t>
      </w:r>
      <w:r w:rsidR="00866282">
        <w:rPr>
          <w:rFonts w:ascii="Arial" w:hAnsi="Arial" w:cs="Arial"/>
          <w:bCs/>
          <w:szCs w:val="21"/>
          <w:lang w:val="en-US"/>
        </w:rPr>
        <w:t xml:space="preserve"> </w:t>
      </w:r>
      <w:r w:rsidR="00866282" w:rsidRPr="00866282">
        <w:rPr>
          <w:rFonts w:ascii="Arial" w:hAnsi="Arial" w:cs="Arial"/>
          <w:bCs/>
          <w:szCs w:val="21"/>
          <w:lang w:val="en-US"/>
        </w:rPr>
        <w:t>collision rate</w:t>
      </w:r>
      <w:r w:rsidR="00866282">
        <w:rPr>
          <w:rFonts w:ascii="Arial" w:hAnsi="Arial" w:cs="Arial"/>
          <w:bCs/>
          <w:szCs w:val="21"/>
          <w:lang w:val="en-US"/>
        </w:rPr>
        <w:t xml:space="preserve"> and </w:t>
      </w:r>
      <w:r w:rsidR="00866282" w:rsidRPr="00866282">
        <w:rPr>
          <w:rFonts w:ascii="Arial" w:hAnsi="Arial" w:cs="Arial"/>
          <w:bCs/>
          <w:szCs w:val="21"/>
          <w:lang w:val="en-US"/>
        </w:rPr>
        <w:t xml:space="preserve">1 access per UE </w:t>
      </w:r>
      <w:r w:rsidR="00866282">
        <w:rPr>
          <w:rFonts w:ascii="Arial" w:hAnsi="Arial" w:cs="Arial"/>
          <w:bCs/>
          <w:szCs w:val="21"/>
          <w:lang w:val="en-US"/>
        </w:rPr>
        <w:t xml:space="preserve">in </w:t>
      </w:r>
      <w:r w:rsidR="00866282" w:rsidRPr="00866282">
        <w:rPr>
          <w:rFonts w:ascii="Arial" w:hAnsi="Arial" w:cs="Arial"/>
          <w:bCs/>
          <w:szCs w:val="21"/>
          <w:lang w:val="en-US"/>
        </w:rPr>
        <w:t>every 10mins</w:t>
      </w:r>
      <w:r w:rsidR="00866282">
        <w:rPr>
          <w:rFonts w:ascii="Arial" w:hAnsi="Arial" w:cs="Arial"/>
          <w:bCs/>
          <w:szCs w:val="21"/>
          <w:lang w:val="en-US"/>
        </w:rPr>
        <w:t xml:space="preserve">, the RACH capacity is around 3 UEs per sq. km. </w:t>
      </w:r>
    </w:p>
    <w:p w14:paraId="4CA27E95" w14:textId="77777777" w:rsidR="00BD48CB" w:rsidRDefault="00BD48CB" w:rsidP="004A49BB">
      <w:pPr>
        <w:jc w:val="both"/>
        <w:rPr>
          <w:b/>
          <w:bCs/>
          <w:sz w:val="21"/>
          <w:szCs w:val="21"/>
          <w:lang w:val="en-US"/>
        </w:rPr>
      </w:pPr>
    </w:p>
    <w:p w14:paraId="7129A722" w14:textId="7618084E" w:rsidR="00866282" w:rsidRPr="00C73CEF" w:rsidRDefault="00866282" w:rsidP="00C5784F">
      <w:pPr>
        <w:jc w:val="both"/>
        <w:rPr>
          <w:rFonts w:ascii="Arial" w:hAnsi="Arial" w:cs="Arial"/>
          <w:b/>
        </w:rPr>
      </w:pPr>
      <w:r w:rsidRPr="00C73CEF">
        <w:rPr>
          <w:rFonts w:ascii="Arial" w:hAnsi="Arial" w:cs="Arial"/>
          <w:b/>
        </w:rPr>
        <w:t>Observation-</w:t>
      </w:r>
      <w:r>
        <w:rPr>
          <w:rFonts w:ascii="Arial" w:hAnsi="Arial" w:cs="Arial"/>
          <w:b/>
        </w:rPr>
        <w:t>2</w:t>
      </w:r>
      <w:r w:rsidRPr="00C73CEF">
        <w:rPr>
          <w:rFonts w:ascii="Arial" w:hAnsi="Arial" w:cs="Arial"/>
          <w:b/>
        </w:rPr>
        <w:t>:</w:t>
      </w:r>
      <w:r>
        <w:rPr>
          <w:rFonts w:ascii="Arial" w:hAnsi="Arial" w:cs="Arial"/>
          <w:b/>
        </w:rPr>
        <w:t xml:space="preserve"> With </w:t>
      </w:r>
      <w:r w:rsidRPr="00866282">
        <w:rPr>
          <w:rFonts w:ascii="Arial" w:hAnsi="Arial" w:cs="Arial"/>
          <w:b/>
          <w:bCs/>
          <w:szCs w:val="21"/>
          <w:lang w:val="en-US"/>
        </w:rPr>
        <w:t>RACH occasions in every 2</w:t>
      </w:r>
      <w:r w:rsidRPr="00866282">
        <w:rPr>
          <w:rFonts w:ascii="Arial" w:hAnsi="Arial" w:cs="Arial"/>
          <w:b/>
          <w:bCs/>
          <w:szCs w:val="21"/>
          <w:vertAlign w:val="superscript"/>
          <w:lang w:val="en-US"/>
        </w:rPr>
        <w:t>nd</w:t>
      </w:r>
      <w:r w:rsidRPr="00866282">
        <w:rPr>
          <w:rFonts w:ascii="Arial" w:hAnsi="Arial" w:cs="Arial"/>
          <w:b/>
          <w:bCs/>
          <w:szCs w:val="21"/>
          <w:lang w:val="en-US"/>
        </w:rPr>
        <w:t xml:space="preserve"> subframe, 8 RACH opportunities in frequency, 200kms beam spot diameter, 56 preambles (CBRA), 1% collision rate and 1 access per UE in every 10mins, the </w:t>
      </w:r>
      <w:r w:rsidR="00625A03">
        <w:rPr>
          <w:rFonts w:ascii="Arial" w:hAnsi="Arial" w:cs="Arial"/>
          <w:b/>
          <w:bCs/>
          <w:szCs w:val="21"/>
          <w:lang w:val="en-US"/>
        </w:rPr>
        <w:t xml:space="preserve">minimum </w:t>
      </w:r>
      <w:r w:rsidRPr="00866282">
        <w:rPr>
          <w:rFonts w:ascii="Arial" w:hAnsi="Arial" w:cs="Arial"/>
          <w:b/>
          <w:bCs/>
          <w:szCs w:val="21"/>
          <w:lang w:val="en-US"/>
        </w:rPr>
        <w:t>RACH capacity is around 3 UEs per sq. km</w:t>
      </w:r>
      <w:r w:rsidRPr="00866282">
        <w:rPr>
          <w:rFonts w:ascii="Arial" w:hAnsi="Arial" w:cs="Arial"/>
          <w:b/>
        </w:rPr>
        <w:t>.</w:t>
      </w:r>
    </w:p>
    <w:p w14:paraId="6D77DCA7" w14:textId="77777777" w:rsidR="00625A03" w:rsidRDefault="00625A03" w:rsidP="004A2EB4">
      <w:pPr>
        <w:jc w:val="both"/>
        <w:rPr>
          <w:rFonts w:ascii="Arial" w:eastAsia="MS Mincho" w:hAnsi="Arial"/>
        </w:rPr>
      </w:pPr>
    </w:p>
    <w:p w14:paraId="5F7929A9" w14:textId="74AF51A0" w:rsidR="004A2EB4" w:rsidRDefault="00625A03" w:rsidP="004A2EB4">
      <w:pPr>
        <w:jc w:val="both"/>
        <w:rPr>
          <w:rFonts w:ascii="Arial" w:eastAsia="MS Mincho" w:hAnsi="Arial"/>
        </w:rPr>
      </w:pPr>
      <w:r>
        <w:rPr>
          <w:rFonts w:ascii="Arial" w:eastAsia="MS Mincho" w:hAnsi="Arial"/>
        </w:rPr>
        <w:t xml:space="preserve">Analysing Obsevation-1 and Observation-2 reveals that </w:t>
      </w:r>
      <w:r w:rsidR="0036435B">
        <w:rPr>
          <w:rFonts w:ascii="Arial" w:eastAsia="MS Mincho" w:hAnsi="Arial"/>
        </w:rPr>
        <w:t xml:space="preserve">the minimum </w:t>
      </w:r>
      <w:r>
        <w:rPr>
          <w:rFonts w:ascii="Arial" w:eastAsia="MS Mincho" w:hAnsi="Arial"/>
        </w:rPr>
        <w:t>RACH capacity with RACH parameters, mentioned in Observation-2, is sufficient enough to satisfy the UL link budget in NTN.</w:t>
      </w:r>
      <w:r w:rsidR="00DE7707">
        <w:rPr>
          <w:rFonts w:ascii="Arial" w:eastAsia="MS Mincho" w:hAnsi="Arial"/>
        </w:rPr>
        <w:t xml:space="preserve"> In fact,</w:t>
      </w:r>
      <w:r w:rsidR="0036435B">
        <w:rPr>
          <w:rFonts w:ascii="Arial" w:eastAsia="MS Mincho" w:hAnsi="Arial"/>
        </w:rPr>
        <w:t xml:space="preserve"> </w:t>
      </w:r>
      <w:r w:rsidR="0036435B" w:rsidRPr="0036435B">
        <w:rPr>
          <w:rFonts w:ascii="Arial" w:eastAsia="MS Mincho" w:hAnsi="Arial"/>
        </w:rPr>
        <w:t xml:space="preserve">to support </w:t>
      </w:r>
      <w:r w:rsidR="0036435B">
        <w:rPr>
          <w:rFonts w:ascii="Arial" w:eastAsia="MS Mincho" w:hAnsi="Arial"/>
        </w:rPr>
        <w:t>11,780</w:t>
      </w:r>
      <w:r w:rsidR="0036435B" w:rsidRPr="0036435B">
        <w:rPr>
          <w:rFonts w:ascii="Arial" w:eastAsia="MS Mincho" w:hAnsi="Arial"/>
        </w:rPr>
        <w:t xml:space="preserve"> UEs per beam</w:t>
      </w:r>
      <w:r w:rsidR="0036435B">
        <w:rPr>
          <w:rFonts w:ascii="Arial" w:eastAsia="MS Mincho" w:hAnsi="Arial"/>
        </w:rPr>
        <w:t xml:space="preserve"> </w:t>
      </w:r>
      <w:r w:rsidR="0036435B" w:rsidRPr="0036435B">
        <w:rPr>
          <w:rFonts w:ascii="Arial" w:eastAsia="MS Mincho" w:hAnsi="Arial"/>
        </w:rPr>
        <w:t>spot</w:t>
      </w:r>
      <w:r w:rsidR="0036435B">
        <w:rPr>
          <w:rFonts w:ascii="Arial" w:eastAsia="MS Mincho" w:hAnsi="Arial"/>
        </w:rPr>
        <w:t>,</w:t>
      </w:r>
      <w:r w:rsidR="0036435B" w:rsidRPr="0036435B">
        <w:rPr>
          <w:rFonts w:ascii="Arial" w:eastAsia="MS Mincho" w:hAnsi="Arial"/>
        </w:rPr>
        <w:t xml:space="preserve"> </w:t>
      </w:r>
      <w:r w:rsidR="0036435B">
        <w:rPr>
          <w:rFonts w:ascii="Arial" w:eastAsia="MS Mincho" w:hAnsi="Arial"/>
        </w:rPr>
        <w:t>the above mentioned</w:t>
      </w:r>
      <w:r w:rsidR="0036435B" w:rsidRPr="0036435B">
        <w:rPr>
          <w:rFonts w:ascii="Arial" w:eastAsia="MS Mincho" w:hAnsi="Arial"/>
        </w:rPr>
        <w:t xml:space="preserve"> RACH configuration </w:t>
      </w:r>
      <w:r w:rsidR="0036435B">
        <w:rPr>
          <w:rFonts w:ascii="Arial" w:eastAsia="MS Mincho" w:hAnsi="Arial"/>
        </w:rPr>
        <w:t xml:space="preserve">[2, 3] requires </w:t>
      </w:r>
      <w:r w:rsidR="0036435B" w:rsidRPr="0036435B">
        <w:rPr>
          <w:rFonts w:ascii="Arial" w:eastAsia="MS Mincho" w:hAnsi="Arial"/>
        </w:rPr>
        <w:t xml:space="preserve">1 access per UE </w:t>
      </w:r>
      <w:r w:rsidR="0036435B">
        <w:rPr>
          <w:rFonts w:ascii="Arial" w:eastAsia="MS Mincho" w:hAnsi="Arial"/>
        </w:rPr>
        <w:t xml:space="preserve">in </w:t>
      </w:r>
      <w:r w:rsidR="0036435B" w:rsidRPr="0036435B">
        <w:rPr>
          <w:rFonts w:ascii="Arial" w:eastAsia="MS Mincho" w:hAnsi="Arial"/>
        </w:rPr>
        <w:t xml:space="preserve">every </w:t>
      </w:r>
      <w:r w:rsidR="0036435B">
        <w:rPr>
          <w:rFonts w:ascii="Arial" w:eastAsia="MS Mincho" w:hAnsi="Arial"/>
        </w:rPr>
        <w:t xml:space="preserve">5 ~ </w:t>
      </w:r>
      <w:r w:rsidR="0036435B" w:rsidRPr="0036435B">
        <w:rPr>
          <w:rFonts w:ascii="Arial" w:eastAsia="MS Mincho" w:hAnsi="Arial"/>
        </w:rPr>
        <w:t>6 seconds</w:t>
      </w:r>
      <w:r w:rsidR="0036435B">
        <w:rPr>
          <w:rFonts w:ascii="Arial" w:eastAsia="MS Mincho" w:hAnsi="Arial"/>
        </w:rPr>
        <w:t>,</w:t>
      </w:r>
      <w:r w:rsidR="0036435B" w:rsidRPr="0036435B">
        <w:rPr>
          <w:rFonts w:ascii="Arial" w:eastAsia="MS Mincho" w:hAnsi="Arial"/>
        </w:rPr>
        <w:t xml:space="preserve"> with </w:t>
      </w:r>
      <w:r w:rsidR="0036435B">
        <w:rPr>
          <w:rFonts w:ascii="Arial" w:eastAsia="MS Mincho" w:hAnsi="Arial"/>
        </w:rPr>
        <w:t>the</w:t>
      </w:r>
      <w:r w:rsidR="0036435B" w:rsidRPr="0036435B">
        <w:rPr>
          <w:rFonts w:ascii="Arial" w:eastAsia="MS Mincho" w:hAnsi="Arial"/>
        </w:rPr>
        <w:t xml:space="preserve"> </w:t>
      </w:r>
      <w:r w:rsidR="0036435B">
        <w:rPr>
          <w:rFonts w:ascii="Arial" w:eastAsia="MS Mincho" w:hAnsi="Arial"/>
        </w:rPr>
        <w:t>1% collision rate.</w:t>
      </w:r>
    </w:p>
    <w:p w14:paraId="0E693617" w14:textId="77777777" w:rsidR="0036435B" w:rsidRDefault="0036435B" w:rsidP="004A2EB4">
      <w:pPr>
        <w:jc w:val="both"/>
        <w:rPr>
          <w:rFonts w:ascii="Arial" w:eastAsia="MS Mincho" w:hAnsi="Arial"/>
        </w:rPr>
      </w:pPr>
    </w:p>
    <w:p w14:paraId="1D942D75" w14:textId="20D13484" w:rsidR="0036435B" w:rsidRPr="0036435B" w:rsidRDefault="0036435B" w:rsidP="004A2EB4">
      <w:pPr>
        <w:jc w:val="both"/>
        <w:rPr>
          <w:rFonts w:ascii="Arial" w:eastAsia="MS Mincho" w:hAnsi="Arial"/>
          <w:b/>
        </w:rPr>
      </w:pPr>
      <w:r w:rsidRPr="0036435B">
        <w:rPr>
          <w:rFonts w:ascii="Arial" w:eastAsia="MS Mincho" w:hAnsi="Arial"/>
          <w:b/>
        </w:rPr>
        <w:t xml:space="preserve">Proposal-1: Existing Random Access procedure should be enough to support UL link budget in NTN and the reduction of RACH capacity (arising from preamble ambiguity) will not affect the NTN system design.  </w:t>
      </w:r>
    </w:p>
    <w:p w14:paraId="1BBC8109" w14:textId="77777777" w:rsidR="00866282" w:rsidRDefault="00866282" w:rsidP="004A2EB4">
      <w:pPr>
        <w:jc w:val="both"/>
        <w:rPr>
          <w:rFonts w:ascii="Arial" w:eastAsia="MS Mincho" w:hAnsi="Arial"/>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736097BB" w14:textId="6DC55FCC" w:rsidR="003C285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36435B">
        <w:rPr>
          <w:rFonts w:ascii="Arial" w:eastAsia="MS Mincho" w:hAnsi="Arial" w:cs="Arial"/>
          <w:szCs w:val="24"/>
          <w:lang w:eastAsia="en-GB"/>
        </w:rPr>
        <w:t>that the reduced RACH capacity is enough to sustain the number of users in NTN.</w:t>
      </w:r>
      <w:r w:rsidR="003C2856">
        <w:rPr>
          <w:rFonts w:ascii="Arial" w:hAnsi="Arial" w:cs="Arial"/>
          <w:lang w:val="en-US" w:eastAsia="ko-KR"/>
        </w:rPr>
        <w:t>.</w:t>
      </w:r>
    </w:p>
    <w:p w14:paraId="19C7677F" w14:textId="77777777" w:rsidR="00A80CE0" w:rsidRDefault="00A80CE0" w:rsidP="0055198C">
      <w:pPr>
        <w:spacing w:after="60"/>
        <w:jc w:val="both"/>
        <w:rPr>
          <w:rFonts w:ascii="Arial" w:eastAsia="MS Mincho" w:hAnsi="Arial"/>
          <w:b/>
          <w:szCs w:val="24"/>
        </w:rPr>
      </w:pPr>
    </w:p>
    <w:p w14:paraId="31254A08" w14:textId="77777777" w:rsidR="00C5784F" w:rsidRPr="00C73CEF" w:rsidRDefault="00C5784F" w:rsidP="00C5784F">
      <w:pPr>
        <w:rPr>
          <w:rFonts w:ascii="Arial" w:hAnsi="Arial" w:cs="Arial"/>
          <w:b/>
        </w:rPr>
      </w:pPr>
      <w:r w:rsidRPr="00C73CEF">
        <w:rPr>
          <w:rFonts w:ascii="Arial" w:hAnsi="Arial" w:cs="Arial"/>
          <w:b/>
        </w:rPr>
        <w:t xml:space="preserve">Observation-1: With </w:t>
      </w:r>
      <w:r>
        <w:rPr>
          <w:rFonts w:ascii="Arial" w:hAnsi="Arial" w:cs="Arial"/>
          <w:b/>
        </w:rPr>
        <w:t>1.5% activity factor and 100kms beam spot diameter and uplink user data rate of 60kbps, NTN can support a user density of 0.149.</w:t>
      </w:r>
    </w:p>
    <w:p w14:paraId="629A057F" w14:textId="77777777" w:rsidR="00C5784F" w:rsidRDefault="00C5784F" w:rsidP="00C5784F">
      <w:pPr>
        <w:jc w:val="both"/>
        <w:rPr>
          <w:rFonts w:ascii="Arial" w:hAnsi="Arial" w:cs="Arial"/>
          <w:b/>
        </w:rPr>
      </w:pPr>
    </w:p>
    <w:p w14:paraId="1A44F47D" w14:textId="77777777" w:rsidR="00C5784F" w:rsidRDefault="00C5784F" w:rsidP="00C5784F">
      <w:pPr>
        <w:jc w:val="both"/>
        <w:rPr>
          <w:rFonts w:ascii="Arial" w:hAnsi="Arial" w:cs="Arial"/>
          <w:b/>
        </w:rPr>
      </w:pPr>
      <w:r w:rsidRPr="00C73CEF">
        <w:rPr>
          <w:rFonts w:ascii="Arial" w:hAnsi="Arial" w:cs="Arial"/>
          <w:b/>
        </w:rPr>
        <w:t>Observation-</w:t>
      </w:r>
      <w:r>
        <w:rPr>
          <w:rFonts w:ascii="Arial" w:hAnsi="Arial" w:cs="Arial"/>
          <w:b/>
        </w:rPr>
        <w:t>2</w:t>
      </w:r>
      <w:r w:rsidRPr="00C73CEF">
        <w:rPr>
          <w:rFonts w:ascii="Arial" w:hAnsi="Arial" w:cs="Arial"/>
          <w:b/>
        </w:rPr>
        <w:t>:</w:t>
      </w:r>
      <w:r>
        <w:rPr>
          <w:rFonts w:ascii="Arial" w:hAnsi="Arial" w:cs="Arial"/>
          <w:b/>
        </w:rPr>
        <w:t xml:space="preserve"> With </w:t>
      </w:r>
      <w:r w:rsidRPr="00866282">
        <w:rPr>
          <w:rFonts w:ascii="Arial" w:hAnsi="Arial" w:cs="Arial"/>
          <w:b/>
          <w:bCs/>
          <w:szCs w:val="21"/>
          <w:lang w:val="en-US"/>
        </w:rPr>
        <w:t>RACH occasions in every 2</w:t>
      </w:r>
      <w:r w:rsidRPr="00866282">
        <w:rPr>
          <w:rFonts w:ascii="Arial" w:hAnsi="Arial" w:cs="Arial"/>
          <w:b/>
          <w:bCs/>
          <w:szCs w:val="21"/>
          <w:vertAlign w:val="superscript"/>
          <w:lang w:val="en-US"/>
        </w:rPr>
        <w:t>nd</w:t>
      </w:r>
      <w:r w:rsidRPr="00866282">
        <w:rPr>
          <w:rFonts w:ascii="Arial" w:hAnsi="Arial" w:cs="Arial"/>
          <w:b/>
          <w:bCs/>
          <w:szCs w:val="21"/>
          <w:lang w:val="en-US"/>
        </w:rPr>
        <w:t xml:space="preserve"> subframe, 8 RACH opportunities in frequency, 200kms beam spot diameter, 56 preambles (CBRA), 1% collision rate and 1 access per UE in every 10mins, the </w:t>
      </w:r>
      <w:r>
        <w:rPr>
          <w:rFonts w:ascii="Arial" w:hAnsi="Arial" w:cs="Arial"/>
          <w:b/>
          <w:bCs/>
          <w:szCs w:val="21"/>
          <w:lang w:val="en-US"/>
        </w:rPr>
        <w:t xml:space="preserve">minimum </w:t>
      </w:r>
      <w:r w:rsidRPr="00866282">
        <w:rPr>
          <w:rFonts w:ascii="Arial" w:hAnsi="Arial" w:cs="Arial"/>
          <w:b/>
          <w:bCs/>
          <w:szCs w:val="21"/>
          <w:lang w:val="en-US"/>
        </w:rPr>
        <w:t>RACH capacity is around 3 UEs per sq. km</w:t>
      </w:r>
      <w:r w:rsidRPr="00866282">
        <w:rPr>
          <w:rFonts w:ascii="Arial" w:hAnsi="Arial" w:cs="Arial"/>
          <w:b/>
        </w:rPr>
        <w:t>.</w:t>
      </w:r>
    </w:p>
    <w:p w14:paraId="27563468" w14:textId="77777777" w:rsidR="00C5784F" w:rsidRDefault="00C5784F" w:rsidP="0055198C">
      <w:pPr>
        <w:spacing w:after="60"/>
        <w:jc w:val="both"/>
        <w:rPr>
          <w:rFonts w:ascii="Arial" w:eastAsia="MS Mincho" w:hAnsi="Arial"/>
          <w:b/>
          <w:szCs w:val="24"/>
        </w:rPr>
      </w:pPr>
    </w:p>
    <w:p w14:paraId="591DAD9B" w14:textId="77777777" w:rsidR="00C5784F" w:rsidRPr="0036435B" w:rsidRDefault="00C5784F" w:rsidP="00C5784F">
      <w:pPr>
        <w:jc w:val="both"/>
        <w:rPr>
          <w:rFonts w:ascii="Arial" w:eastAsia="MS Mincho" w:hAnsi="Arial"/>
          <w:b/>
        </w:rPr>
      </w:pPr>
      <w:r w:rsidRPr="0036435B">
        <w:rPr>
          <w:rFonts w:ascii="Arial" w:eastAsia="MS Mincho" w:hAnsi="Arial"/>
          <w:b/>
        </w:rPr>
        <w:t xml:space="preserve">Proposal-1: Existing Random Access procedure should be enough to support UL link budget in NTN and the reduction of RACH capacity (arising from preamble ambiguity) will not affect the NTN system design.  </w:t>
      </w:r>
    </w:p>
    <w:p w14:paraId="4C9C66EC" w14:textId="77777777" w:rsidR="00B765AD" w:rsidRDefault="00B765AD"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409AA43" w14:textId="27F66A4D" w:rsidR="00D30920" w:rsidRPr="00D30920" w:rsidRDefault="00D30920" w:rsidP="00CD0556">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 xml:space="preserve">3GPP TR 38.821,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63B4D6AD" w14:textId="594DA7AC" w:rsidR="00D30920" w:rsidRDefault="00D30920" w:rsidP="00D30920">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R2-1903390, “</w:t>
      </w:r>
      <w:r w:rsidRPr="00D30920">
        <w:rPr>
          <w:rFonts w:ascii="Arial" w:hAnsi="Arial" w:cs="Arial"/>
          <w:sz w:val="20"/>
          <w:szCs w:val="20"/>
          <w:lang w:eastAsia="ko-KR"/>
        </w:rPr>
        <w:t>Discussion on the ambiguity of preamble reception in NTN RACH procedure</w:t>
      </w:r>
      <w:r>
        <w:rPr>
          <w:rFonts w:ascii="Arial" w:hAnsi="Arial" w:cs="Arial"/>
          <w:sz w:val="20"/>
          <w:szCs w:val="20"/>
          <w:lang w:eastAsia="ko-KR"/>
        </w:rPr>
        <w:t>” (ZTE).</w:t>
      </w:r>
      <w:bookmarkEnd w:id="5"/>
    </w:p>
    <w:p w14:paraId="3398961C" w14:textId="2765861C" w:rsidR="00A363E4" w:rsidRDefault="00A363E4" w:rsidP="00A363E4">
      <w:pPr>
        <w:pStyle w:val="ListParagraph"/>
        <w:numPr>
          <w:ilvl w:val="0"/>
          <w:numId w:val="2"/>
        </w:numPr>
        <w:rPr>
          <w:rFonts w:ascii="Arial" w:hAnsi="Arial" w:cs="Arial"/>
          <w:sz w:val="20"/>
          <w:szCs w:val="20"/>
          <w:lang w:eastAsia="ko-KR"/>
        </w:rPr>
      </w:pPr>
      <w:bookmarkStart w:id="6" w:name="_Ref7090220"/>
      <w:bookmarkEnd w:id="4"/>
      <w:r>
        <w:rPr>
          <w:rFonts w:ascii="Arial" w:hAnsi="Arial" w:cs="Arial"/>
          <w:sz w:val="20"/>
          <w:szCs w:val="20"/>
          <w:lang w:eastAsia="ko-KR"/>
        </w:rPr>
        <w:t>R2-1903391, “</w:t>
      </w:r>
      <w:r w:rsidRPr="00A363E4">
        <w:rPr>
          <w:rFonts w:ascii="Arial" w:hAnsi="Arial" w:cs="Arial"/>
          <w:sz w:val="20"/>
          <w:szCs w:val="20"/>
          <w:lang w:eastAsia="ko-KR"/>
        </w:rPr>
        <w:t>Consideration on Random Access for NTN</w:t>
      </w:r>
      <w:r>
        <w:rPr>
          <w:rFonts w:ascii="Arial" w:hAnsi="Arial" w:cs="Arial"/>
          <w:sz w:val="20"/>
          <w:szCs w:val="20"/>
          <w:lang w:eastAsia="ko-KR"/>
        </w:rPr>
        <w:t>” (ZTE).</w:t>
      </w:r>
      <w:bookmarkEnd w:id="6"/>
    </w:p>
    <w:p w14:paraId="5124251A" w14:textId="77777777" w:rsidR="00FB2746" w:rsidRPr="003D3512" w:rsidRDefault="00FB2746" w:rsidP="00FB2746">
      <w:pPr>
        <w:pStyle w:val="ListParagraph"/>
        <w:ind w:left="360"/>
        <w:rPr>
          <w:rFonts w:ascii="Arial" w:hAnsi="Arial" w:cs="Arial"/>
          <w:sz w:val="20"/>
          <w:szCs w:val="20"/>
          <w:lang w:eastAsia="ko-KR"/>
        </w:rPr>
      </w:pPr>
    </w:p>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EDC0C" w14:textId="77777777" w:rsidR="00447242" w:rsidRDefault="00447242">
      <w:r>
        <w:separator/>
      </w:r>
    </w:p>
  </w:endnote>
  <w:endnote w:type="continuationSeparator" w:id="0">
    <w:p w14:paraId="73EADD90" w14:textId="77777777" w:rsidR="00447242" w:rsidRDefault="0044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FFDC6" w14:textId="77777777" w:rsidR="00447242" w:rsidRDefault="00447242">
      <w:r>
        <w:separator/>
      </w:r>
    </w:p>
  </w:footnote>
  <w:footnote w:type="continuationSeparator" w:id="0">
    <w:p w14:paraId="7213ECCB" w14:textId="77777777" w:rsidR="00447242" w:rsidRDefault="00447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9"/>
  </w:num>
  <w:num w:numId="4">
    <w:abstractNumId w:val="11"/>
  </w:num>
  <w:num w:numId="5">
    <w:abstractNumId w:val="2"/>
  </w:num>
  <w:num w:numId="6">
    <w:abstractNumId w:val="1"/>
  </w:num>
  <w:num w:numId="7">
    <w:abstractNumId w:val="7"/>
  </w:num>
  <w:num w:numId="8">
    <w:abstractNumId w:val="16"/>
  </w:num>
  <w:num w:numId="9">
    <w:abstractNumId w:val="3"/>
  </w:num>
  <w:num w:numId="10">
    <w:abstractNumId w:val="17"/>
  </w:num>
  <w:num w:numId="11">
    <w:abstractNumId w:val="18"/>
  </w:num>
  <w:num w:numId="12">
    <w:abstractNumId w:val="6"/>
  </w:num>
  <w:num w:numId="13">
    <w:abstractNumId w:val="15"/>
  </w:num>
  <w:num w:numId="14">
    <w:abstractNumId w:val="12"/>
  </w:num>
  <w:num w:numId="15">
    <w:abstractNumId w:val="4"/>
  </w:num>
  <w:num w:numId="16">
    <w:abstractNumId w:val="8"/>
  </w:num>
  <w:num w:numId="17">
    <w:abstractNumId w:val="10"/>
  </w:num>
  <w:num w:numId="18">
    <w:abstractNumId w:val="13"/>
  </w:num>
  <w:num w:numId="19">
    <w:abstractNumId w:val="19"/>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24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CC9"/>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84F"/>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A3154-49E0-41FA-8B11-94E6DFC2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2019-08-06T23:27:00Z</dcterms:created>
  <dcterms:modified xsi:type="dcterms:W3CDTF">2019-08-15T01:53:00Z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